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C7" w:rsidRDefault="00DB5FC7" w:rsidP="00DB5FC7">
      <w:pPr>
        <w:rPr>
          <w:rFonts w:ascii="NeueHaasGroteskDisp Pro" w:hAnsi="NeueHaasGroteskDisp Pro"/>
          <w:color w:val="000000"/>
          <w:lang w:eastAsia="en-US"/>
        </w:rPr>
      </w:pPr>
      <w:r>
        <w:rPr>
          <w:rFonts w:ascii="NeueHaasGroteskDisp Pro" w:hAnsi="NeueHaasGroteskDisp Pro"/>
          <w:color w:val="000000"/>
          <w:lang w:eastAsia="en-US"/>
        </w:rPr>
        <w:t>Szanowni Państwo,</w:t>
      </w:r>
    </w:p>
    <w:p w:rsidR="00DB5FC7" w:rsidRDefault="00DB5FC7" w:rsidP="00DB5FC7">
      <w:pPr>
        <w:rPr>
          <w:lang w:eastAsia="en-US"/>
        </w:rPr>
      </w:pPr>
    </w:p>
    <w:p w:rsidR="00DB5FC7" w:rsidRDefault="00DB5FC7" w:rsidP="00DB5FC7">
      <w:pPr>
        <w:rPr>
          <w:lang w:eastAsia="en-US"/>
        </w:rPr>
      </w:pPr>
      <w:r>
        <w:rPr>
          <w:lang w:eastAsia="en-US"/>
        </w:rPr>
        <w:t xml:space="preserve">Zapraszamy Państwa na kolejne webinarium, które organizujemy w ramach naszego cyklu Akademia Ubezpieczeń, podczas którego opowiemy </w:t>
      </w:r>
      <w:r>
        <w:t>o gwarancjach i kredycie kupieckim.</w:t>
      </w:r>
      <w:r>
        <w:rPr>
          <w:lang w:eastAsia="en-US"/>
        </w:rPr>
        <w:t xml:space="preserve"> Webinarium odbędzie się 18 czerwca 2020 roku o 10.00. </w:t>
      </w:r>
    </w:p>
    <w:p w:rsidR="00DB5FC7" w:rsidRDefault="00DB5FC7" w:rsidP="00DB5FC7">
      <w:pPr>
        <w:rPr>
          <w:lang w:eastAsia="en-US"/>
        </w:rPr>
      </w:pPr>
    </w:p>
    <w:p w:rsidR="00DB5FC7" w:rsidRDefault="00DB5FC7" w:rsidP="00DB5FC7">
      <w:pPr>
        <w:rPr>
          <w:lang w:eastAsia="en-US"/>
        </w:rPr>
      </w:pPr>
      <w:r>
        <w:rPr>
          <w:lang w:eastAsia="en-US"/>
        </w:rPr>
        <w:t xml:space="preserve">Zachęcam Państwa do uczestnictwa w webinarium. </w:t>
      </w:r>
    </w:p>
    <w:p w:rsidR="00DB5FC7" w:rsidRDefault="00DB5FC7" w:rsidP="00DB5FC7">
      <w:pPr>
        <w:rPr>
          <w:lang w:eastAsia="en-US"/>
        </w:rPr>
      </w:pPr>
    </w:p>
    <w:tbl>
      <w:tblPr>
        <w:tblW w:w="6287" w:type="pct"/>
        <w:jc w:val="center"/>
        <w:shd w:val="clear" w:color="auto" w:fill="EF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7"/>
      </w:tblGrid>
      <w:tr w:rsidR="00DB5FC7" w:rsidTr="00DB5FC7">
        <w:trPr>
          <w:jc w:val="center"/>
        </w:trPr>
        <w:tc>
          <w:tcPr>
            <w:tcW w:w="13050" w:type="dxa"/>
            <w:shd w:val="clear" w:color="auto" w:fill="EFEFEF"/>
            <w:hideMark/>
          </w:tcPr>
          <w:tbl>
            <w:tblPr>
              <w:tblW w:w="12000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DB5FC7" w:rsidTr="00DB5FC7">
              <w:trPr>
                <w:jc w:val="center"/>
              </w:trPr>
              <w:tc>
                <w:tcPr>
                  <w:tcW w:w="13050" w:type="dxa"/>
                  <w:shd w:val="clear" w:color="auto" w:fill="EFEFEF"/>
                  <w:hideMark/>
                </w:tcPr>
                <w:tbl>
                  <w:tblPr>
                    <w:tblW w:w="1360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8"/>
                  </w:tblGrid>
                  <w:tr w:rsidR="00DB5FC7" w:rsidTr="00DB5FC7">
                    <w:tc>
                      <w:tcPr>
                        <w:tcW w:w="13608" w:type="dxa"/>
                        <w:shd w:val="clear" w:color="auto" w:fill="FFFFFF"/>
                        <w:vAlign w:val="center"/>
                        <w:hideMark/>
                      </w:tcPr>
                      <w:p w:rsidR="00DB5FC7" w:rsidRDefault="00DB5FC7" w:rsidP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9120" cy="3063240"/>
                              <wp:effectExtent l="0" t="0" r="0" b="3810"/>
                              <wp:docPr id="8" name="Obraz 8" descr="cid:image001.png@01D63F10.1ED3C5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cid:image001.png@01D63F10.1ED3C5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9120" cy="3063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5FC7" w:rsidRDefault="00DB5F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5FC7" w:rsidTr="00DB5FC7">
              <w:trPr>
                <w:trHeight w:val="75"/>
                <w:jc w:val="center"/>
              </w:trPr>
              <w:tc>
                <w:tcPr>
                  <w:tcW w:w="13050" w:type="dxa"/>
                  <w:shd w:val="clear" w:color="auto" w:fill="EFEFEF"/>
                  <w:vAlign w:val="center"/>
                  <w:hideMark/>
                </w:tcPr>
                <w:p w:rsidR="00DB5FC7" w:rsidRDefault="00DB5FC7">
                  <w:pPr>
                    <w:rPr>
                      <w:rFonts w:ascii="NeueHaasGroteskDisp Pro" w:hAnsi="NeueHaasGroteskDisp Pro"/>
                      <w:sz w:val="24"/>
                      <w:szCs w:val="24"/>
                    </w:rPr>
                  </w:pPr>
                  <w:r>
                    <w:rPr>
                      <w:rFonts w:ascii="NeueHaasGroteskDisp Pro" w:hAnsi="NeueHaasGroteskDisp Pro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" cy="45720"/>
                        <wp:effectExtent l="0" t="0" r="0" b="0"/>
                        <wp:docPr id="7" name="Obraz 7" descr="http://images.towerswatson.com/email/space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http://images.towerswatson.com/email/space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5FC7" w:rsidTr="00DB5FC7">
              <w:trPr>
                <w:jc w:val="center"/>
              </w:trPr>
              <w:tc>
                <w:tcPr>
                  <w:tcW w:w="13050" w:type="dxa"/>
                  <w:shd w:val="clear" w:color="auto" w:fill="FFFFFF"/>
                  <w:hideMark/>
                </w:tcPr>
                <w:tbl>
                  <w:tblPr>
                    <w:tblW w:w="121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8010"/>
                    <w:gridCol w:w="20"/>
                    <w:gridCol w:w="180"/>
                    <w:gridCol w:w="180"/>
                    <w:gridCol w:w="3150"/>
                    <w:gridCol w:w="180"/>
                  </w:tblGrid>
                  <w:tr w:rsidR="00DB5FC7" w:rsidTr="00DB5FC7">
                    <w:tc>
                      <w:tcPr>
                        <w:tcW w:w="426" w:type="dxa"/>
                        <w:shd w:val="clear" w:color="auto" w:fill="EFEFEF"/>
                        <w:vAlign w:val="center"/>
                        <w:hideMark/>
                      </w:tcPr>
                      <w:p w:rsidR="00DB5FC7" w:rsidRDefault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45720"/>
                              <wp:effectExtent l="0" t="0" r="0" b="0"/>
                              <wp:docPr id="6" name="Obraz 6" descr="http://images.towerswatson.com/email/space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http://images.towerswatson.com/email/space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10" w:type="dxa"/>
                        <w:shd w:val="clear" w:color="auto" w:fill="F5F5F5"/>
                        <w:hideMark/>
                      </w:tcPr>
                      <w:tbl>
                        <w:tblPr>
                          <w:tblW w:w="79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B5FC7" w:rsidTr="00DB5FC7"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7950" w:type="dxa"/>
                                <w:shd w:val="clear" w:color="auto" w:fill="EFEFEF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DB5FC7" w:rsidTr="00DB5FC7">
                                <w:tc>
                                  <w:tcPr>
                                    <w:tcW w:w="7650" w:type="dxa"/>
                                    <w:shd w:val="clear" w:color="auto" w:fill="EFEFEF"/>
                                    <w:vAlign w:val="center"/>
                                  </w:tcPr>
                                  <w:p w:rsidR="00DB5FC7" w:rsidRDefault="00DB5FC7">
                                    <w:pPr>
                                      <w:shd w:val="clear" w:color="auto" w:fill="EFEFEF"/>
                                      <w:spacing w:after="150"/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color w:val="50505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Szanowni Państwo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color w:val="505050"/>
                                        <w:sz w:val="27"/>
                                        <w:szCs w:val="27"/>
                                      </w:rPr>
                                      <w:t>,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Serdecznie zapraszamy na kolejne spotkanie z cyklu Akademia Ubezpieczeń – ryzyko pandemii a ubezpieczenia, podczas którego opowiemy o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color w:val="702082"/>
                                      </w:rPr>
                                      <w:t>gwarancjach ubezpieczeniowych oraz ryzyku utraty płynności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>.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Webinarium odbędzie się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18 czerwca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o godzinie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10.00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i potrwa około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godziny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>.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>W najbliższym webinarium przedstawimy następujące tematy: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>- Gwarancje ubezpieczeniowe w kontekście pandemii i kryzysu – poprowadzi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 Dawid Wojciechowski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ekspert ds. gwarancji ubezpieczeniowych w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Willis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Towers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 Watson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- Ryzyko utraty płynności w erze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>Covid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 19. Komplementarne produkty ubezpieczenia należności i faktoringu z perspektywy zachowania płynności finansowej przedsiębiorstwa – poprowadzi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Zbigniew Brzozowiec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Dyrektor Departamentu Ubezpieczeń Należności w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Willis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Towers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 xml:space="preserve"> Watson Polska i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30A0"/>
                                      </w:rPr>
                                      <w:t xml:space="preserve">Karol Wiencek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Zastępca Dyrektora Departamentu Ubezpieczeń Należności, Specjalista ds.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Faktoringu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30A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</w:rPr>
                                      <w:t>oraz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gościnnie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Janusz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>Władyczak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 xml:space="preserve">– Prezes Zarządu KUKE i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Elżbieta </w:t>
                                    </w:r>
                                    <w:proofErr w:type="spellStart"/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>Kacprzykowska</w:t>
                                    </w:r>
                                    <w:proofErr w:type="spellEnd"/>
                                    <w:r>
                                      <w:rPr>
                                        <w:rFonts w:ascii="NeueHaasGroteskDisp Pro" w:hAnsi="NeueHaasGroteskDisp Pro"/>
                                        <w:color w:val="70208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eueHaasGroteskDisp Pro" w:hAnsi="NeueHaasGroteskDisp Pro"/>
                                      </w:rPr>
                                      <w:t>–Dyrektor Sprzedaży KUKE.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shd w:val="clear" w:color="auto" w:fill="EFEFEF"/>
                                      <w:spacing w:line="360" w:lineRule="auto"/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Zapraszamy do rejestracji</w:t>
                                    </w:r>
                                  </w:p>
                                  <w:p w:rsidR="00DB5FC7" w:rsidRDefault="00DB5FC7">
                                    <w:pPr>
                                      <w:shd w:val="clear" w:color="auto" w:fill="EFEFEF"/>
                                      <w:spacing w:line="360" w:lineRule="auto"/>
                                    </w:pPr>
                                    <w:proofErr w:type="spellStart"/>
                                    <w:r>
                                      <w:t>Willis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Towers</w:t>
                                    </w:r>
                                    <w:proofErr w:type="spellEnd"/>
                                    <w:r>
                                      <w:t xml:space="preserve"> Watson Polska</w:t>
                                    </w:r>
                                  </w:p>
                                  <w:tbl>
                                    <w:tblPr>
                                      <w:tblW w:w="9000" w:type="dxa"/>
                                      <w:jc w:val="center"/>
                                      <w:shd w:val="clear" w:color="auto" w:fill="000000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51"/>
                                      <w:gridCol w:w="3641"/>
                                      <w:gridCol w:w="221"/>
                                      <w:gridCol w:w="221"/>
                                      <w:gridCol w:w="221"/>
                                      <w:gridCol w:w="245"/>
                                    </w:tblGrid>
                                    <w:tr w:rsidR="00DB5FC7" w:rsidTr="00DB5FC7">
                                      <w:trPr>
                                        <w:trHeight w:val="120"/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gridSpan w:val="6"/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DB5FC7" w:rsidRDefault="00DB5FC7"/>
                                      </w:tc>
                                    </w:tr>
                                    <w:tr w:rsidR="00DB5FC7" w:rsidTr="00DB5FC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000000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DB5FC7" w:rsidRDefault="00DB5FC7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828800" cy="247650"/>
                                                <wp:effectExtent l="0" t="0" r="0" b="0"/>
                                                <wp:wrapSquare wrapText="bothSides"/>
                                                <wp:docPr id="10" name="Obraz 10" descr="Willis Towers Watson">
                                                  <a:hlinkClick xmlns:a="http://schemas.openxmlformats.org/drawingml/2006/main" r:id="rId1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braz 2" descr="Willis Towers Watson">
                                                          <a:hlinkClick r:id="rId11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28800" cy="247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0" w:type="pct"/>
                                          <w:shd w:val="clear" w:color="auto" w:fill="000000"/>
                                          <w:vAlign w:val="center"/>
                                        </w:tcPr>
                                        <w:p w:rsidR="00DB5FC7" w:rsidRDefault="00DB5FC7"/>
                                      </w:tc>
                                      <w:tc>
                                        <w:tcPr>
                                          <w:tcW w:w="150" w:type="pct"/>
                                          <w:shd w:val="clear" w:color="auto" w:fill="000000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</w:tcPr>
                                        <w:p w:rsidR="00DB5FC7" w:rsidRDefault="00DB5FC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pct"/>
                                          <w:shd w:val="clear" w:color="auto" w:fill="000000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</w:tcPr>
                                        <w:p w:rsidR="00DB5FC7" w:rsidRDefault="00DB5FC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pct"/>
                                          <w:shd w:val="clear" w:color="auto" w:fill="000000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</w:tcPr>
                                        <w:p w:rsidR="00DB5FC7" w:rsidRDefault="00DB5FC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pct"/>
                                          <w:shd w:val="clear" w:color="auto" w:fill="000000"/>
                                          <w:tcMar>
                                            <w:top w:w="150" w:type="dxa"/>
                                            <w:left w:w="75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:rsidR="00DB5FC7" w:rsidRDefault="00DB5FC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B5FC7" w:rsidTr="00DB5FC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gridSpan w:val="6"/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879" w:type="pct"/>
                                            <w:shd w:val="clear" w:color="auto" w:fill="000000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82"/>
                                          </w:tblGrid>
                                          <w:tr w:rsidR="00DB5FC7" w:rsidTr="00DB5FC7">
                                            <w:trPr>
                                              <w:trHeight w:val="7341"/>
                                            </w:trPr>
                                            <w:tc>
                                              <w:tcPr>
                                                <w:tcW w:w="8782" w:type="dxa"/>
                                                <w:shd w:val="clear" w:color="auto" w:fill="000000"/>
                                                <w:tcMar>
                                                  <w:top w:w="120" w:type="dxa"/>
                                                  <w:left w:w="120" w:type="dxa"/>
                                                  <w:bottom w:w="120" w:type="dxa"/>
                                                  <w:right w:w="120" w:type="dxa"/>
                                                </w:tcMar>
                                                <w:vAlign w:val="center"/>
                                              </w:tcPr>
                                              <w:p w:rsidR="00DB5FC7" w:rsidRDefault="00DB5FC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300" w:lineRule="auto"/>
                                                  <w:rPr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 xml:space="preserve">Jeżeli nie chcą Państwo otrzymywać od nas tego typu wiadomości prosimy o informację zwrotną na adres </w:t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hAnsi="Arial" w:cs="Arial"/>
                                                      <w:sz w:val="18"/>
                                                      <w:szCs w:val="18"/>
                                                    </w:rPr>
                                                    <w:t>wtw-pl.Marketing@willistowerswatson.com</w:t>
                                                  </w:r>
                                                </w:hyperlink>
                                              </w:p>
                                              <w:p w:rsidR="00DB5FC7" w:rsidRDefault="00DB5FC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300" w:lineRule="auto"/>
                                                  <w:rPr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DB5FC7" w:rsidRDefault="00DB5FC7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Kto zarządza Twoimi danymi?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  <w:t xml:space="preserve">Administratorem Twoich danych osobowych jest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Willis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Towers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Watson Polska Sp. z o.o. z siedzibą w Warszawie (02-672) przy ul. Domaniewskiej 34A.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  <w:t xml:space="preserve">W jakim celu przetwarzamy Twoje dane? Twoje dane osobowe są przetwarzane w celach marketingowych. Masz prawo cofnąć zgodę w dowolnym momencie – nie będzie to miało wpływu na to, że przetwarzanie danych przed cofnięciem zgody było zgodne z prawem. Twoje dane będą przetwarzane bezterminowo, do czasu cofnięcia zgody.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Jak będziemy zarządzać Twoimi danymi?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  <w:t xml:space="preserve">Twoja zgoda na przetwarzanie danych umożliwia nam przedstawienie Ci oferty usług, informacji o organizowanych przez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Willis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Towers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Watson Polska wydarzeniach oraz bieżących informacji ze świata ubezpieczeń.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Willis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Towers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Watson Polska będzie przekazywać Twoje dane innym odbiorcom, którym powierzono przetwarzanie danych osobowych w imieniu i na rzecz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Willis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Towers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Watson Polska. Mogą one zostać udostępnione innym odbiorcom o ile taki obowiązek będzie wynikał z przepisów prawa. Twoje dane mogą być przekazywane do państw trzecich i organizacji międzynarodowych o ile podmioty mające siedzibę w tych państwach w odpowiedni sposób zabezpieczają dane osobowe. W przypadku wyrażenia zgody na otrzymywanie treści marketingowych podstawą przetwarzania Twoich danych osobowych jest art. 6 ust. 1 lit. a) RODO.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Jakie masz prawa?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dostępu do swoich danych osobowych i otrzymania kopii danych osobowych podlegających przetwarzaniu.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do sprostowania swoich nieprawidłowych danych.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żądania usunięcia danych (prawo do bycia zapomnianym) (szczegóły: art. 17 RODO).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żądania ograniczenia przetwarzania danych (szczegóły: art. 18 RODO).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wniesienia sprzeciwu wobec przetwarzania danych (szczegóły: art. 21 RODO).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Masz prawo przenoszenia dostarczonych danych przetwarzanych w sposób zautomatyzowany. </w:t>
                                                </w:r>
                                              </w:p>
                                              <w:p w:rsidR="00DB5FC7" w:rsidRDefault="00DB5FC7" w:rsidP="008178C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  <w:t>Masz prawo wnieść skargę do organu nadzorczego – UODO, ul. Stawki 2, Warszawa – jeśli uważasz, że Twoje dane osobowe są przetwarzane niezgodnie z prawem.</w:t>
                                                </w:r>
                                              </w:p>
                                              <w:p w:rsidR="00DB5FC7" w:rsidRDefault="00DB5FC7">
                                                <w:pPr>
                                                  <w:pStyle w:val="Bezodstpw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B5FC7" w:rsidTr="00DB5FC7">
                                            <w:trPr>
                                              <w:trHeight w:val="258"/>
                                            </w:trPr>
                                            <w:tc>
                                              <w:tcPr>
                                                <w:tcW w:w="8782" w:type="dxa"/>
                                                <w:shd w:val="clear" w:color="auto" w:fill="000000"/>
                                                <w:tcMar>
                                                  <w:top w:w="120" w:type="dxa"/>
                                                  <w:left w:w="120" w:type="dxa"/>
                                                  <w:bottom w:w="120" w:type="dxa"/>
                                                  <w:right w:w="12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5FC7" w:rsidRDefault="00DB5FC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300" w:lineRule="auto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Copyright 2020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Willis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Towers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Watson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5FC7" w:rsidRDefault="00DB5FC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5FC7" w:rsidRDefault="00DB5FC7">
                                    <w:pPr>
                                      <w:shd w:val="clear" w:color="auto" w:fill="EFEFEF"/>
                                      <w:spacing w:line="348" w:lineRule="auto"/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5FC7" w:rsidRDefault="00DB5F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5FC7" w:rsidRDefault="00DB5FC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EFEFEF"/>
                        <w:vAlign w:val="center"/>
                        <w:hideMark/>
                      </w:tcPr>
                      <w:p w:rsidR="00DB5FC7" w:rsidRDefault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5" name="Obraz 5" descr="http://images.towerswatson.com/email/space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 descr="http://images.towerswatson.com/email/space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EFEFEF"/>
                        <w:vAlign w:val="center"/>
                        <w:hideMark/>
                      </w:tcPr>
                      <w:p w:rsidR="00DB5FC7" w:rsidRDefault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4" name="Obraz 4" descr="http://images.towerswatson.com/email/space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5" descr="http://images.towerswatson.com/email/space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EFEFEF"/>
                        <w:vAlign w:val="center"/>
                        <w:hideMark/>
                      </w:tcPr>
                      <w:p w:rsidR="00DB5FC7" w:rsidRDefault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3" name="Obraz 3" descr="http://images.towerswatson.com/email/space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6" descr="http://images.towerswatson.com/email/space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50" w:type="dxa"/>
                        <w:shd w:val="clear" w:color="auto" w:fill="EFEFEF"/>
                        <w:hideMark/>
                      </w:tcPr>
                      <w:tbl>
                        <w:tblPr>
                          <w:tblW w:w="0" w:type="auto"/>
                          <w:shd w:val="clear" w:color="auto" w:fill="EFEFE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B5FC7" w:rsidTr="00DB5FC7">
                          <w:tc>
                            <w:tcPr>
                              <w:tcW w:w="3150" w:type="dxa"/>
                              <w:shd w:val="clear" w:color="auto" w:fill="EFEFEF"/>
                              <w:vAlign w:val="center"/>
                              <w:hideMark/>
                            </w:tcPr>
                            <w:tbl>
                              <w:tblPr>
                                <w:tblW w:w="3150" w:type="dxa"/>
                                <w:shd w:val="clear" w:color="auto" w:fill="EFEFEF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DB5FC7" w:rsidTr="00DB5FC7">
                                <w:tc>
                                  <w:tcPr>
                                    <w:tcW w:w="3150" w:type="dxa"/>
                                    <w:shd w:val="clear" w:color="auto" w:fill="EFEFEF"/>
                                    <w:vAlign w:val="center"/>
                                    <w:hideMark/>
                                  </w:tcPr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7620" cy="99060"/>
                                          <wp:effectExtent l="0" t="0" r="0" b="0"/>
                                          <wp:docPr id="2" name="Obraz 2" descr="http://images.towerswatson.com/email/help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az 7" descr="http://images.towerswatson.com/email/help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B5FC7" w:rsidTr="00DB5FC7">
                                <w:tc>
                                  <w:tcPr>
                                    <w:tcW w:w="3150" w:type="dxa"/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B5FC7" w:rsidTr="00DB5FC7">
                                <w:tc>
                                  <w:tcPr>
                                    <w:tcW w:w="3150" w:type="dxa"/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Kiedy: 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NeueHaasGroteskDisp Pro" w:hAnsi="NeueHaasGroteskDisp Pro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 czerwca 2020 | 10:00 – 11:00</w:t>
                                    </w:r>
                                  </w:p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B5FC7" w:rsidTr="00DB5FC7">
                                <w:tc>
                                  <w:tcPr>
                                    <w:tcW w:w="3150" w:type="dxa"/>
                                    <w:shd w:val="clear" w:color="auto" w:fill="EFEFE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B5FC7" w:rsidRDefault="00DB5FC7">
                                    <w:pPr>
                                      <w:rPr>
                                        <w:rFonts w:ascii="NeueHaasGroteskDisp Pro" w:hAnsi="NeueHaasGroteskDisp Pr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5FC7" w:rsidRDefault="00DB5F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5FC7" w:rsidRDefault="00DB5FC7" w:rsidP="00DB5FC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-26670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2049780" cy="457200"/>
                              <wp:effectExtent l="0" t="0" r="7620" b="0"/>
                              <wp:wrapNone/>
                              <wp:docPr id="9" name="Obraz 9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97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EFEFEF"/>
                        <w:vAlign w:val="center"/>
                        <w:hideMark/>
                      </w:tcPr>
                      <w:p w:rsidR="00DB5FC7" w:rsidRDefault="00DB5FC7">
                        <w:pPr>
                          <w:rPr>
                            <w:rFonts w:ascii="NeueHaasGroteskDisp Pro" w:hAnsi="NeueHaasGroteskDisp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ueHaasGroteskDisp Pro" w:hAnsi="NeueHaasGroteskDisp Pro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45720"/>
                              <wp:effectExtent l="0" t="0" r="0" b="0"/>
                              <wp:docPr id="1" name="Obraz 1" descr="http://images.towerswatson.com/email/space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8" descr="http://images.towerswatson.com/email/space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5FC7" w:rsidRDefault="00DB5F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5FC7" w:rsidRDefault="00DB5F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D54" w:rsidRDefault="009A3D54" w:rsidP="00DB5FC7">
      <w:pPr>
        <w:ind w:left="-993" w:right="-1134"/>
      </w:pPr>
    </w:p>
    <w:sectPr w:rsidR="009A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ueHaasGroteskDisp Pr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10C29"/>
    <w:multiLevelType w:val="multilevel"/>
    <w:tmpl w:val="51D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0"/>
    <w:rsid w:val="009A3D54"/>
    <w:rsid w:val="00B12660"/>
    <w:rsid w:val="00D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ED0B-B12A-4477-9684-71A1E8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FC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FC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5F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DB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3F10.1ED3C530" TargetMode="External"/><Relationship Id="rId13" Type="http://schemas.openxmlformats.org/officeDocument/2006/relationships/hyperlink" Target="mailto:wtw-pl.Marketing@willistowerswatson.com" TargetMode="External"/><Relationship Id="rId18" Type="http://schemas.openxmlformats.org/officeDocument/2006/relationships/hyperlink" Target="https://twmeetingcenter.webex.com/twmeetingcenter/onstage/g.php?MTID=e8d58ba5685fbfb1e17948422b93b52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image" Target="cid:image007.png@01D63F10.1ED3C53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63F10.1ED3C530" TargetMode="External"/><Relationship Id="rId11" Type="http://schemas.openxmlformats.org/officeDocument/2006/relationships/hyperlink" Target="http://links.mpfexpress.mkt304.com/ctt?kn=14&amp;ms=MTM1NjkzNDYS1&amp;r=MTU1NzM4ODY0OTYwS0&amp;b=0&amp;j=ODQzMjQ1MTgzS0&amp;mt=1&amp;rt=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6.png@01D63F10.1ED3C530" TargetMode="External"/><Relationship Id="rId10" Type="http://schemas.openxmlformats.org/officeDocument/2006/relationships/image" Target="cid:image003.png@01D63F10.1ED3C53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Romanowska</dc:creator>
  <cp:keywords/>
  <dc:description/>
  <cp:lastModifiedBy>Ewelina Romanowska</cp:lastModifiedBy>
  <cp:revision>2</cp:revision>
  <dcterms:created xsi:type="dcterms:W3CDTF">2020-06-10T12:15:00Z</dcterms:created>
  <dcterms:modified xsi:type="dcterms:W3CDTF">2020-06-10T12:18:00Z</dcterms:modified>
</cp:coreProperties>
</file>